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52" w:rsidRDefault="007D2C99">
      <w:pPr>
        <w:spacing w:after="132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2B6352" w:rsidRDefault="007D2C99">
      <w:pPr>
        <w:spacing w:after="117" w:line="259" w:lineRule="auto"/>
        <w:ind w:left="0" w:right="4" w:firstLine="0"/>
        <w:jc w:val="center"/>
      </w:pPr>
      <w:r>
        <w:rPr>
          <w:b/>
        </w:rPr>
        <w:t xml:space="preserve">Программа долгосрочных сбережений (ПДС)  </w:t>
      </w:r>
    </w:p>
    <w:p w:rsidR="002B6352" w:rsidRDefault="007D2C99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2B6352" w:rsidRDefault="007D2C99">
      <w:pPr>
        <w:ind w:left="-15" w:right="-7" w:firstLine="993"/>
      </w:pPr>
      <w:r>
        <w:t xml:space="preserve"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</w:t>
      </w:r>
    </w:p>
    <w:p w:rsidR="002B6352" w:rsidRDefault="007D2C99">
      <w:pPr>
        <w:ind w:left="-15" w:right="-7" w:firstLine="993"/>
      </w:pPr>
      <w:r>
        <w:t xml:space="preserve"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2B6352" w:rsidRDefault="007D2C99">
      <w:pPr>
        <w:spacing w:after="123" w:line="259" w:lineRule="auto"/>
        <w:ind w:right="-3"/>
        <w:jc w:val="right"/>
      </w:pPr>
      <w:r>
        <w:t xml:space="preserve">Операторами программы, которые обеспечивают сохранность и доходность </w:t>
      </w:r>
    </w:p>
    <w:p w:rsidR="002B6352" w:rsidRDefault="007D2C99">
      <w:pPr>
        <w:ind w:left="-5" w:right="-7"/>
      </w:pPr>
      <w:r>
        <w:t xml:space="preserve">сбережений и осуществляют выплаты этих сбережений, являются негосударственные пенсионные фонды. </w:t>
      </w:r>
    </w:p>
    <w:p w:rsidR="002B6352" w:rsidRDefault="007D2C99">
      <w:pPr>
        <w:spacing w:after="123" w:line="259" w:lineRule="auto"/>
        <w:ind w:right="-3"/>
        <w:jc w:val="right"/>
      </w:pPr>
      <w:r>
        <w:t xml:space="preserve">Формировать сбережения человек может самостоятельно за счет взносов из </w:t>
      </w:r>
    </w:p>
    <w:p w:rsidR="002B6352" w:rsidRDefault="007D2C99">
      <w:pPr>
        <w:ind w:left="-5" w:right="-7"/>
      </w:pPr>
      <w:r>
        <w:t xml:space="preserve">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</w:t>
      </w:r>
      <w:hyperlink r:id="rId4">
        <w:r>
          <w:t>(</w:t>
        </w:r>
      </w:hyperlink>
      <w:hyperlink r:id="rId5">
        <w:r>
          <w:rPr>
            <w:color w:val="0462C1"/>
            <w:u w:val="single" w:color="0462C1"/>
          </w:rPr>
          <w:t>http://www.napf.ru/PDS</w:t>
        </w:r>
      </w:hyperlink>
      <w:hyperlink r:id="rId6">
        <w:r>
          <w:t>)</w:t>
        </w:r>
      </w:hyperlink>
      <w:r>
        <w:t xml:space="preserve">.  </w:t>
      </w:r>
    </w:p>
    <w:p w:rsidR="002B6352" w:rsidRDefault="007D2C99">
      <w:pPr>
        <w:spacing w:after="1" w:line="358" w:lineRule="auto"/>
        <w:ind w:left="0" w:right="0" w:firstLine="993"/>
        <w:jc w:val="left"/>
      </w:pPr>
      <w:r>
        <w:t xml:space="preserve"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самостоятельно. </w:t>
      </w:r>
    </w:p>
    <w:p w:rsidR="002B6352" w:rsidRDefault="007D2C99">
      <w:pPr>
        <w:spacing w:after="123" w:line="259" w:lineRule="auto"/>
        <w:ind w:right="-3"/>
        <w:jc w:val="right"/>
      </w:pPr>
      <w:r>
        <w:t xml:space="preserve">Кроме того, производить взносы в рамках программы долгосрочных </w:t>
      </w:r>
    </w:p>
    <w:p w:rsidR="002B6352" w:rsidRDefault="007D2C99">
      <w:pPr>
        <w:ind w:left="-5" w:right="-7"/>
      </w:pPr>
      <w:r>
        <w:t xml:space="preserve">сбережений сможет и работодатель. Внесенные на счет средства будут застрахованы на 2,8 млн рублей. </w:t>
      </w:r>
    </w:p>
    <w:p w:rsidR="002B6352" w:rsidRDefault="007D2C99">
      <w:pPr>
        <w:spacing w:after="123" w:line="259" w:lineRule="auto"/>
        <w:ind w:right="-3"/>
        <w:jc w:val="right"/>
      </w:pPr>
      <w:r>
        <w:t xml:space="preserve">Новый механизм предусматривает различные стимулирующие меры для </w:t>
      </w:r>
    </w:p>
    <w:p w:rsidR="002B6352" w:rsidRDefault="007D2C99">
      <w:pPr>
        <w:ind w:left="-5" w:right="-7"/>
      </w:pPr>
      <w:r>
        <w:t xml:space="preserve">участников программы, в том числе дополнительное </w:t>
      </w:r>
      <w:proofErr w:type="spellStart"/>
      <w:r>
        <w:t>софинансирование</w:t>
      </w:r>
      <w:proofErr w:type="spellEnd"/>
      <w:r>
        <w:t xml:space="preserve"> со стороны государства до 36 тысяч рублей в год. Кроме того, участники системы смогут </w:t>
      </w:r>
      <w:r>
        <w:lastRenderedPageBreak/>
        <w:t xml:space="preserve">оформить ежегодный налоговый вычет до 52 тысяч рублей при уплате взносов до 400 тысяч рублей в год. </w:t>
      </w:r>
    </w:p>
    <w:p w:rsidR="002B6352" w:rsidRDefault="007D2C99">
      <w:pPr>
        <w:spacing w:after="125" w:line="259" w:lineRule="auto"/>
        <w:ind w:left="1003" w:right="-7"/>
      </w:pPr>
      <w:r>
        <w:t xml:space="preserve">Сформированные средства будут вкладываться в ОФЗ, инфраструктурные </w:t>
      </w:r>
    </w:p>
    <w:p w:rsidR="002B6352" w:rsidRDefault="007D2C99">
      <w:pPr>
        <w:ind w:left="-5" w:right="-7"/>
      </w:pPr>
      <w:r>
        <w:t xml:space="preserve">облигации, корпоративные облигации и прочие надежные ценные бумаги. При этом гражданин может заключить договоры с несколькими операторами. </w:t>
      </w:r>
    </w:p>
    <w:p w:rsidR="002B6352" w:rsidRDefault="007D2C99">
      <w:pPr>
        <w:spacing w:after="124" w:line="259" w:lineRule="auto"/>
        <w:ind w:left="1003" w:right="-7"/>
      </w:pPr>
      <w:r>
        <w:t xml:space="preserve">Сбережения могут быть использованы как дополнительный доход после 15 лет </w:t>
      </w:r>
    </w:p>
    <w:p w:rsidR="002B6352" w:rsidRDefault="007D2C99">
      <w:pPr>
        <w:ind w:left="-5" w:right="-7"/>
      </w:pPr>
      <w:r>
        <w:t xml:space="preserve">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лечения или на образование детей. </w:t>
      </w:r>
    </w:p>
    <w:p w:rsidR="002B6352" w:rsidRDefault="007D2C99">
      <w:pPr>
        <w:spacing w:after="125" w:line="259" w:lineRule="auto"/>
        <w:ind w:left="1003" w:right="-7"/>
      </w:pPr>
      <w:r>
        <w:t xml:space="preserve">Средства граждан по программе наследуются в полном объеме за вычетом </w:t>
      </w:r>
    </w:p>
    <w:p w:rsidR="002B6352" w:rsidRDefault="007D2C99">
      <w:pPr>
        <w:ind w:left="-5" w:right="-7"/>
      </w:pPr>
      <w:r>
        <w:t xml:space="preserve">выплаченных средств (за исключением случая, если участнику программы назначена пожизненная периодическая выплата). </w:t>
      </w:r>
    </w:p>
    <w:p w:rsidR="002B6352" w:rsidRDefault="007D2C99">
      <w:pPr>
        <w:spacing w:after="124" w:line="259" w:lineRule="auto"/>
        <w:ind w:left="993" w:right="0" w:firstLine="0"/>
        <w:jc w:val="left"/>
      </w:pPr>
      <w:r>
        <w:t xml:space="preserve"> </w:t>
      </w:r>
    </w:p>
    <w:p w:rsidR="002B6352" w:rsidRDefault="007D2C99">
      <w:pPr>
        <w:spacing w:after="124" w:line="259" w:lineRule="auto"/>
        <w:ind w:left="1003" w:right="-7"/>
      </w:pPr>
      <w:r>
        <w:t xml:space="preserve">Подробнее с условиями программы можно познакомиться на сайте Мои </w:t>
      </w:r>
    </w:p>
    <w:p w:rsidR="002B6352" w:rsidRDefault="007D2C99">
      <w:pPr>
        <w:spacing w:after="0"/>
        <w:ind w:left="0" w:right="0" w:firstLine="0"/>
        <w:jc w:val="left"/>
      </w:pPr>
      <w:r>
        <w:t xml:space="preserve">финансы: </w:t>
      </w:r>
      <w:hyperlink r:id="rId7">
        <w:r>
          <w:rPr>
            <w:color w:val="0462C1"/>
            <w:u w:val="single" w:color="0462C1"/>
          </w:rPr>
          <w:t>https://xn</w:t>
        </w:r>
      </w:hyperlink>
      <w:hyperlink r:id="rId8">
        <w:r>
          <w:rPr>
            <w:color w:val="0462C1"/>
            <w:u w:val="single" w:color="0462C1"/>
          </w:rPr>
          <w:t>--</w:t>
        </w:r>
      </w:hyperlink>
      <w:hyperlink r:id="rId9">
        <w:r>
          <w:rPr>
            <w:color w:val="0462C1"/>
            <w:u w:val="single" w:color="0462C1"/>
          </w:rPr>
          <w:t>80apaohbc3aw9e.xn</w:t>
        </w:r>
      </w:hyperlink>
      <w:hyperlink r:id="rId10">
        <w:r>
          <w:rPr>
            <w:color w:val="0462C1"/>
            <w:u w:val="single" w:color="0462C1"/>
          </w:rPr>
          <w:t>--</w:t>
        </w:r>
      </w:hyperlink>
      <w:hyperlink r:id="rId11">
        <w:r>
          <w:rPr>
            <w:color w:val="0462C1"/>
            <w:u w:val="single" w:color="0462C1"/>
          </w:rPr>
          <w:t>p1ai/</w:t>
        </w:r>
        <w:proofErr w:type="spellStart"/>
        <w:r>
          <w:rPr>
            <w:color w:val="0462C1"/>
            <w:u w:val="single" w:color="0462C1"/>
          </w:rPr>
          <w:t>programma</w:t>
        </w:r>
      </w:hyperlink>
      <w:hyperlink r:id="rId12">
        <w:r>
          <w:rPr>
            <w:color w:val="0462C1"/>
            <w:u w:val="single" w:color="0462C1"/>
          </w:rPr>
          <w:t>-</w:t>
        </w:r>
      </w:hyperlink>
      <w:hyperlink r:id="rId13">
        <w:r>
          <w:rPr>
            <w:color w:val="0462C1"/>
            <w:u w:val="single" w:color="0462C1"/>
          </w:rPr>
          <w:t>dolgosrochnyh</w:t>
        </w:r>
      </w:hyperlink>
      <w:hyperlink r:id="rId14">
        <w:r>
          <w:rPr>
            <w:color w:val="0462C1"/>
            <w:u w:val="single" w:color="0462C1"/>
          </w:rPr>
          <w:t>-</w:t>
        </w:r>
      </w:hyperlink>
      <w:hyperlink r:id="rId15">
        <w:r>
          <w:rPr>
            <w:color w:val="0462C1"/>
            <w:u w:val="single" w:color="0462C1"/>
          </w:rPr>
          <w:t>sberezhenij</w:t>
        </w:r>
      </w:hyperlink>
      <w:hyperlink r:id="rId16"/>
      <w:hyperlink r:id="rId17">
        <w:r>
          <w:rPr>
            <w:color w:val="0462C1"/>
            <w:u w:val="single" w:color="0462C1"/>
          </w:rPr>
          <w:t>new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8">
        <w:r>
          <w:t xml:space="preserve"> </w:t>
        </w:r>
      </w:hyperlink>
    </w:p>
    <w:p w:rsidR="002B6352" w:rsidRDefault="007D2C99">
      <w:pPr>
        <w:spacing w:after="124" w:line="259" w:lineRule="auto"/>
        <w:ind w:left="993" w:right="0" w:firstLine="0"/>
        <w:jc w:val="left"/>
      </w:pPr>
      <w:r>
        <w:t xml:space="preserve"> </w:t>
      </w:r>
    </w:p>
    <w:p w:rsidR="002B6352" w:rsidRDefault="007D2C99">
      <w:pPr>
        <w:spacing w:after="106" w:line="259" w:lineRule="auto"/>
        <w:ind w:left="993" w:right="0" w:firstLine="0"/>
        <w:jc w:val="left"/>
      </w:pPr>
      <w:r>
        <w:t xml:space="preserve"> </w:t>
      </w:r>
    </w:p>
    <w:p w:rsidR="002B6352" w:rsidRDefault="007D2C99">
      <w:pPr>
        <w:spacing w:after="0" w:line="259" w:lineRule="auto"/>
        <w:ind w:left="427" w:right="0" w:firstLine="0"/>
        <w:jc w:val="left"/>
      </w:pPr>
      <w:r>
        <w:rPr>
          <w:sz w:val="24"/>
        </w:rPr>
        <w:t xml:space="preserve"> </w:t>
      </w:r>
    </w:p>
    <w:sectPr w:rsidR="002B6352" w:rsidSect="007E00D9">
      <w:pgSz w:w="11900" w:h="16840"/>
      <w:pgMar w:top="1198" w:right="847" w:bottom="1957" w:left="12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B6352"/>
    <w:rsid w:val="002B6352"/>
    <w:rsid w:val="00362C03"/>
    <w:rsid w:val="007D2C99"/>
    <w:rsid w:val="007E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D9"/>
    <w:pPr>
      <w:spacing w:after="3" w:line="35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programma-dolgosrochnyh-sberezhenij-new/" TargetMode="External"/><Relationship Id="rId13" Type="http://schemas.openxmlformats.org/officeDocument/2006/relationships/hyperlink" Target="https://&#1084;&#1086;&#1080;&#1092;&#1080;&#1085;&#1072;&#1085;&#1089;&#1099;.&#1088;&#1092;/programma-dolgosrochnyh-sberezhenij-new/" TargetMode="External"/><Relationship Id="rId18" Type="http://schemas.openxmlformats.org/officeDocument/2006/relationships/hyperlink" Target="https://&#1084;&#1086;&#1080;&#1092;&#1080;&#1085;&#1072;&#1085;&#1089;&#1099;.&#1088;&#1092;/programma-dolgosrochnyh-sberezhenij-ne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6;&#1080;&#1092;&#1080;&#1085;&#1072;&#1085;&#1089;&#1099;.&#1088;&#1092;/programma-dolgosrochnyh-sberezhenij-new/" TargetMode="External"/><Relationship Id="rId12" Type="http://schemas.openxmlformats.org/officeDocument/2006/relationships/hyperlink" Target="https://&#1084;&#1086;&#1080;&#1092;&#1080;&#1085;&#1072;&#1085;&#1089;&#1099;.&#1088;&#1092;/programma-dolgosrochnyh-sberezhenij-new/" TargetMode="External"/><Relationship Id="rId17" Type="http://schemas.openxmlformats.org/officeDocument/2006/relationships/hyperlink" Target="https://&#1084;&#1086;&#1080;&#1092;&#1080;&#1085;&#1072;&#1085;&#1089;&#1099;.&#1088;&#1092;/programma-dolgosrochnyh-sberezhenij-ne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4;&#1086;&#1080;&#1092;&#1080;&#1085;&#1072;&#1085;&#1089;&#1099;.&#1088;&#1092;/programma-dolgosrochnyh-sberezhenij-new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11" Type="http://schemas.openxmlformats.org/officeDocument/2006/relationships/hyperlink" Target="https://&#1084;&#1086;&#1080;&#1092;&#1080;&#1085;&#1072;&#1085;&#1089;&#1099;.&#1088;&#1092;/programma-dolgosrochnyh-sberezhenij-new/" TargetMode="External"/><Relationship Id="rId5" Type="http://schemas.openxmlformats.org/officeDocument/2006/relationships/hyperlink" Target="http://www.napf.ru/PDS" TargetMode="External"/><Relationship Id="rId15" Type="http://schemas.openxmlformats.org/officeDocument/2006/relationships/hyperlink" Target="https://&#1084;&#1086;&#1080;&#1092;&#1080;&#1085;&#1072;&#1085;&#1089;&#1099;.&#1088;&#1092;/programma-dolgosrochnyh-sberezhenij-new/" TargetMode="External"/><Relationship Id="rId10" Type="http://schemas.openxmlformats.org/officeDocument/2006/relationships/hyperlink" Target="https://&#1084;&#1086;&#1080;&#1092;&#1080;&#1085;&#1072;&#1085;&#1089;&#1099;.&#1088;&#1092;/programma-dolgosrochnyh-sberezhenij-new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apf.ru/PDS" TargetMode="External"/><Relationship Id="rId9" Type="http://schemas.openxmlformats.org/officeDocument/2006/relationships/hyperlink" Target="https://&#1084;&#1086;&#1080;&#1092;&#1080;&#1085;&#1072;&#1085;&#1089;&#1099;.&#1088;&#1092;/programma-dolgosrochnyh-sberezhenij-new/" TargetMode="External"/><Relationship Id="rId14" Type="http://schemas.openxmlformats.org/officeDocument/2006/relationships/hyperlink" Target="https://&#1084;&#1086;&#1080;&#1092;&#1080;&#1085;&#1072;&#1085;&#1089;&#1099;.&#1088;&#1092;/programma-dolgosrochnyh-sberezhenij-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2024-12-05T10:48:00Z</dcterms:created>
  <dcterms:modified xsi:type="dcterms:W3CDTF">2024-12-05T10:48:00Z</dcterms:modified>
</cp:coreProperties>
</file>